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CF1E90" w:rsidRPr="00CF1E90">
        <w:rPr>
          <w:rFonts w:ascii="Times New Roman" w:hAnsi="Times New Roman"/>
          <w:b/>
          <w:color w:val="0000FF"/>
        </w:rPr>
        <w:t>№</w:t>
      </w:r>
      <w:r w:rsidR="00DB34B2" w:rsidRPr="00DB34B2">
        <w:rPr>
          <w:rFonts w:ascii="Times New Roman" w:hAnsi="Times New Roman"/>
          <w:b/>
          <w:color w:val="0000FF"/>
        </w:rPr>
        <w:t>185/16.10.17/ЗП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955F27" w:rsidRPr="00DB34B2" w:rsidRDefault="002429CE" w:rsidP="00DB3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DB34B2">
        <w:rPr>
          <w:rFonts w:ascii="Times New Roman" w:hAnsi="Times New Roman"/>
          <w:color w:val="0000FF"/>
        </w:rPr>
        <w:t>р</w:t>
      </w:r>
      <w:r w:rsidR="00DB34B2" w:rsidRPr="00DB34B2">
        <w:rPr>
          <w:rFonts w:ascii="Times New Roman" w:hAnsi="Times New Roman"/>
          <w:color w:val="0000FF"/>
        </w:rPr>
        <w:t>азработк</w:t>
      </w:r>
      <w:r w:rsidR="00DB34B2">
        <w:rPr>
          <w:rFonts w:ascii="Times New Roman" w:hAnsi="Times New Roman"/>
          <w:color w:val="0000FF"/>
        </w:rPr>
        <w:t>у</w:t>
      </w:r>
      <w:r w:rsidR="00DB34B2" w:rsidRPr="00DB34B2">
        <w:rPr>
          <w:rFonts w:ascii="Times New Roman" w:hAnsi="Times New Roman"/>
          <w:color w:val="0000FF"/>
        </w:rPr>
        <w:t xml:space="preserve"> проекта:</w:t>
      </w:r>
      <w:r w:rsidR="00DB34B2">
        <w:rPr>
          <w:rFonts w:ascii="Times New Roman" w:hAnsi="Times New Roman"/>
          <w:color w:val="0000FF"/>
        </w:rPr>
        <w:t xml:space="preserve"> </w:t>
      </w:r>
      <w:r w:rsidR="00DB34B2" w:rsidRPr="00DB34B2">
        <w:rPr>
          <w:rFonts w:ascii="Times New Roman" w:hAnsi="Times New Roman"/>
          <w:color w:val="0000FF"/>
        </w:rPr>
        <w:t>Замена электрооборудования и кабелей распределительной подстанции 0,4кВ   КТП-115 с трансформаторами ТМЗ-1000 6/0,4кВ</w:t>
      </w:r>
      <w:r w:rsidR="00DB34B2">
        <w:rPr>
          <w:rFonts w:ascii="Times New Roman" w:hAnsi="Times New Roman"/>
          <w:color w:val="0000FF"/>
        </w:rPr>
        <w:t xml:space="preserve"> </w:t>
      </w:r>
      <w:proofErr w:type="gramStart"/>
      <w:r w:rsidR="00DB34B2">
        <w:rPr>
          <w:rFonts w:ascii="Times New Roman" w:hAnsi="Times New Roman"/>
          <w:color w:val="0000FF"/>
        </w:rPr>
        <w:t>об.402  Цеха</w:t>
      </w:r>
      <w:proofErr w:type="gramEnd"/>
      <w:r w:rsidR="00DB34B2">
        <w:rPr>
          <w:rFonts w:ascii="Times New Roman" w:hAnsi="Times New Roman"/>
          <w:color w:val="0000FF"/>
        </w:rPr>
        <w:t xml:space="preserve"> гидрирования НДМА.</w:t>
      </w:r>
    </w:p>
    <w:p w:rsidR="00087606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DB34B2" w:rsidRPr="001E21F3">
          <w:rPr>
            <w:rStyle w:val="a7"/>
            <w:rFonts w:ascii="Times New Roman" w:eastAsia="Calibri" w:hAnsi="Times New Roman"/>
          </w:rPr>
          <w:t>08</w:t>
        </w:r>
        <w:r w:rsidR="00DB34B2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DB34B2" w:rsidRPr="001E21F3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DB34B2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DB34B2">
        <w:rPr>
          <w:rFonts w:ascii="Times New Roman" w:eastAsia="Calibri" w:hAnsi="Times New Roman"/>
          <w:color w:val="0000FF"/>
        </w:rPr>
        <w:t>63</w:t>
      </w:r>
      <w:r w:rsidR="00CF1E90" w:rsidRPr="00CF1E90">
        <w:rPr>
          <w:rFonts w:ascii="Times New Roman" w:eastAsia="Calibri" w:hAnsi="Times New Roman"/>
          <w:color w:val="0000FF"/>
        </w:rPr>
        <w:t>-</w:t>
      </w:r>
      <w:r w:rsidR="00DB34B2" w:rsidRPr="00DB34B2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DB34B2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7182E" w:rsidRPr="001E21F3">
          <w:rPr>
            <w:rStyle w:val="a7"/>
            <w:rFonts w:ascii="Times New Roman" w:eastAsia="Calibri" w:hAnsi="Times New Roman"/>
          </w:rPr>
          <w:t>08</w:t>
        </w:r>
        <w:r w:rsidR="00A7182E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A7182E" w:rsidRPr="001E21F3">
          <w:rPr>
            <w:rStyle w:val="a7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7182E">
        <w:rPr>
          <w:rFonts w:ascii="Times New Roman" w:hAnsi="Times New Roman"/>
          <w:color w:val="0000FF"/>
        </w:rPr>
        <w:t>63</w:t>
      </w:r>
      <w:r w:rsidR="00CF1E90">
        <w:rPr>
          <w:rFonts w:ascii="Times New Roman" w:hAnsi="Times New Roman"/>
          <w:color w:val="0000FF"/>
        </w:rPr>
        <w:t>-</w:t>
      </w:r>
      <w:r w:rsidR="00A7182E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7182E" w:rsidRPr="00A7182E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A7182E" w:rsidRDefault="009B6A22" w:rsidP="00A7182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A7182E" w:rsidRPr="00A7182E">
        <w:rPr>
          <w:rFonts w:ascii="Times New Roman" w:hAnsi="Times New Roman"/>
          <w:color w:val="0000FF"/>
        </w:rPr>
        <w:t>Разработка проекта: Замена электрооборудования и кабелей расп</w:t>
      </w:r>
      <w:r w:rsidR="00A7182E">
        <w:rPr>
          <w:rFonts w:ascii="Times New Roman" w:hAnsi="Times New Roman"/>
          <w:color w:val="0000FF"/>
        </w:rPr>
        <w:t>ределительной подстанции 0,4кВ</w:t>
      </w:r>
      <w:r w:rsidR="00A7182E" w:rsidRPr="00A7182E">
        <w:rPr>
          <w:rFonts w:ascii="Times New Roman" w:hAnsi="Times New Roman"/>
          <w:color w:val="0000FF"/>
        </w:rPr>
        <w:t xml:space="preserve"> КТП-115 с трансформаторами ТМЗ-1000 6/0,4кВ </w:t>
      </w:r>
      <w:proofErr w:type="gramStart"/>
      <w:r w:rsidR="00A7182E" w:rsidRPr="00A7182E">
        <w:rPr>
          <w:rFonts w:ascii="Times New Roman" w:hAnsi="Times New Roman"/>
          <w:color w:val="0000FF"/>
        </w:rPr>
        <w:t>об.402  Цеха</w:t>
      </w:r>
      <w:proofErr w:type="gramEnd"/>
      <w:r w:rsidR="00A7182E" w:rsidRPr="00A7182E">
        <w:rPr>
          <w:rFonts w:ascii="Times New Roman" w:hAnsi="Times New Roman"/>
          <w:color w:val="0000FF"/>
        </w:rPr>
        <w:t xml:space="preserve"> гидрирования НДМА</w:t>
      </w:r>
      <w:r w:rsidR="00253456" w:rsidRPr="00A7182E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A7182E">
        <w:rPr>
          <w:rFonts w:ascii="Times New Roman" w:eastAsia="Times New Roman" w:hAnsi="Times New Roman"/>
          <w:color w:val="0000FF"/>
          <w:lang w:eastAsia="ru-RU"/>
        </w:rPr>
        <w:t>1 964 392,26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A7182E">
        <w:rPr>
          <w:rFonts w:ascii="Times New Roman" w:eastAsia="Times New Roman" w:hAnsi="Times New Roman"/>
          <w:color w:val="0000FF"/>
          <w:lang w:eastAsia="ru-RU"/>
        </w:rPr>
        <w:t xml:space="preserve">один миллион </w:t>
      </w:r>
      <w:r w:rsidR="00CC0D79">
        <w:rPr>
          <w:rFonts w:ascii="Times New Roman" w:eastAsia="Times New Roman" w:hAnsi="Times New Roman"/>
          <w:color w:val="0000FF"/>
          <w:lang w:eastAsia="ru-RU"/>
        </w:rPr>
        <w:t>девя</w:t>
      </w:r>
      <w:r w:rsidR="00A7182E">
        <w:rPr>
          <w:rFonts w:ascii="Times New Roman" w:eastAsia="Times New Roman" w:hAnsi="Times New Roman"/>
          <w:color w:val="0000FF"/>
          <w:lang w:eastAsia="ru-RU"/>
        </w:rPr>
        <w:t>тьсот шестьдесят четыре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>и триста девяносто два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5E6473">
        <w:rPr>
          <w:rFonts w:ascii="Times New Roman" w:eastAsia="Times New Roman" w:hAnsi="Times New Roman"/>
          <w:color w:val="0000FF"/>
          <w:lang w:eastAsia="ru-RU"/>
        </w:rPr>
        <w:t>я 26 копеек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5E6473">
        <w:rPr>
          <w:rFonts w:ascii="Times New Roman" w:eastAsia="Times New Roman" w:hAnsi="Times New Roman"/>
          <w:color w:val="0000FF"/>
          <w:lang w:eastAsia="ru-RU"/>
        </w:rPr>
        <w:t>299 653</w:t>
      </w:r>
      <w:r w:rsidR="00CC0D79">
        <w:rPr>
          <w:rFonts w:ascii="Times New Roman" w:eastAsia="Times New Roman" w:hAnsi="Times New Roman"/>
          <w:color w:val="0000FF"/>
          <w:lang w:eastAsia="ru-RU"/>
        </w:rPr>
        <w:t>,0</w:t>
      </w:r>
      <w:r w:rsidR="005E6473">
        <w:rPr>
          <w:rFonts w:ascii="Times New Roman" w:eastAsia="Times New Roman" w:hAnsi="Times New Roman"/>
          <w:color w:val="0000FF"/>
          <w:lang w:eastAsia="ru-RU"/>
        </w:rPr>
        <w:t>6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двести </w:t>
      </w:r>
      <w:r w:rsidR="00CC0D79">
        <w:rPr>
          <w:rFonts w:ascii="Times New Roman" w:eastAsia="Times New Roman" w:hAnsi="Times New Roman"/>
          <w:color w:val="0000FF"/>
          <w:lang w:eastAsia="ru-RU"/>
        </w:rPr>
        <w:t>девяносто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девять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шестьсот пятьдесят три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5E6473">
        <w:rPr>
          <w:rFonts w:ascii="Times New Roman" w:eastAsia="Times New Roman" w:hAnsi="Times New Roman"/>
          <w:color w:val="0000FF"/>
          <w:lang w:eastAsia="ru-RU"/>
        </w:rPr>
        <w:t>я 06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7B4C4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62269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00187A">
        <w:rPr>
          <w:rFonts w:ascii="Times New Roman" w:hAnsi="Times New Roman" w:cs="Times New Roman"/>
          <w:color w:val="0000FF"/>
          <w:sz w:val="28"/>
          <w:szCs w:val="28"/>
        </w:rPr>
        <w:t>08</w:t>
      </w:r>
      <w:bookmarkStart w:id="1" w:name="_GoBack"/>
      <w:bookmarkEnd w:id="1"/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527F62" w:rsidRPr="00EF7F34"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F7F34">
        <w:rPr>
          <w:rFonts w:ascii="Times New Roman" w:hAnsi="Times New Roman"/>
          <w:color w:val="0000FF"/>
        </w:rPr>
        <w:t>0</w:t>
      </w:r>
      <w:r w:rsidR="007B4C41">
        <w:rPr>
          <w:rFonts w:ascii="Times New Roman" w:hAnsi="Times New Roman"/>
          <w:color w:val="0000FF"/>
        </w:rPr>
        <w:t>7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EF7F34">
        <w:rPr>
          <w:rFonts w:ascii="Times New Roman" w:hAnsi="Times New Roman"/>
          <w:color w:val="0000FF"/>
        </w:rPr>
        <w:t>ноябр</w:t>
      </w:r>
      <w:r w:rsidR="00403DF9">
        <w:rPr>
          <w:rFonts w:ascii="Times New Roman" w:hAnsi="Times New Roman"/>
          <w:color w:val="0000FF"/>
        </w:rPr>
        <w:t>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00187A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187A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7A6B"/>
    <w:rsid w:val="00130F7F"/>
    <w:rsid w:val="00131931"/>
    <w:rsid w:val="00136093"/>
    <w:rsid w:val="00141A14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E6473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B4C41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27B7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7182E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34B2"/>
    <w:rsid w:val="00DC0504"/>
    <w:rsid w:val="00DD15C4"/>
    <w:rsid w:val="00DD1D03"/>
    <w:rsid w:val="00DD609E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6D1ED21-D6BD-4B28-AE24-8672CA6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46</cp:revision>
  <cp:lastPrinted>2017-10-18T06:30:00Z</cp:lastPrinted>
  <dcterms:created xsi:type="dcterms:W3CDTF">2017-06-13T05:08:00Z</dcterms:created>
  <dcterms:modified xsi:type="dcterms:W3CDTF">2017-10-18T07:51:00Z</dcterms:modified>
</cp:coreProperties>
</file>